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85" w:rsidRDefault="00052185"/>
    <w:p w:rsidR="007348D1" w:rsidRDefault="007348D1" w:rsidP="007348D1">
      <w:r w:rsidRPr="00910C6D">
        <w:rPr>
          <w:b/>
        </w:rPr>
        <w:t>1</w:t>
      </w:r>
      <w:r>
        <w:tab/>
      </w:r>
      <w:r w:rsidRPr="005C2CC4">
        <w:rPr>
          <w:b/>
        </w:rPr>
        <w:t>Scope</w:t>
      </w:r>
    </w:p>
    <w:p w:rsidR="007348D1" w:rsidRDefault="007348D1" w:rsidP="007348D1"/>
    <w:p w:rsidR="005C2CC4" w:rsidRDefault="002A64D8" w:rsidP="00E87D20">
      <w:r w:rsidRPr="002A64D8">
        <w:t>1.1</w:t>
      </w:r>
      <w:r w:rsidRPr="002A64D8">
        <w:tab/>
        <w:t>This document specifies the supple</w:t>
      </w:r>
      <w:r w:rsidR="00730EEE">
        <w:t>mentary IRNAC</w:t>
      </w:r>
      <w:r w:rsidRPr="002A64D8">
        <w:t xml:space="preserve"> criteria for certification bodies on Asset Management (AM) certification to ISO 55001: Asset Management – Management Systems – Requirements, and is to be used with ISO/IEC 17021 and the app</w:t>
      </w:r>
      <w:r>
        <w:t>licable IAF Mandatory Documents</w:t>
      </w:r>
      <w:r w:rsidR="00E87D20">
        <w:t>.</w:t>
      </w:r>
    </w:p>
    <w:p w:rsidR="00E87D20" w:rsidRDefault="00E87D20" w:rsidP="00E87D20"/>
    <w:p w:rsidR="006C60D3" w:rsidRPr="006C60D3" w:rsidRDefault="006C60D3" w:rsidP="006C60D3">
      <w:pPr>
        <w:rPr>
          <w:b/>
        </w:rPr>
      </w:pPr>
      <w:r w:rsidRPr="006C60D3">
        <w:rPr>
          <w:b/>
        </w:rPr>
        <w:t>2</w:t>
      </w:r>
      <w:r w:rsidRPr="006C60D3">
        <w:rPr>
          <w:b/>
        </w:rPr>
        <w:tab/>
        <w:t>Competence Requirements for Auditing and Certification Personnel</w:t>
      </w:r>
    </w:p>
    <w:p w:rsidR="006C60D3" w:rsidRDefault="006C60D3" w:rsidP="006C60D3"/>
    <w:p w:rsidR="002A64D8" w:rsidRDefault="006C60D3" w:rsidP="006C60D3">
      <w:r>
        <w:t>2.1</w:t>
      </w:r>
      <w:r>
        <w:tab/>
        <w:t>A certification body shall appoint competent personnel to review applications, conduct audits, review audit reports and make certification decisions. These personnel shall meet the applicable requirements specified in ISO/IEC TS 17021-5.</w:t>
      </w:r>
    </w:p>
    <w:p w:rsidR="002A64D8" w:rsidRDefault="002A64D8" w:rsidP="00E87D20"/>
    <w:p w:rsidR="00E32200" w:rsidRDefault="00E32200" w:rsidP="00E32200">
      <w:r>
        <w:t>2.2</w:t>
      </w:r>
      <w:r>
        <w:tab/>
        <w:t>Qualification and work experience can be used as part of the requirements. However competence is not based on these alone as it is important to ensure that personnel can demonstrate the ability to apply the specific knowledge and skills that one would expect a person to have after completing a qualification or having a certain amount of work experience.</w:t>
      </w:r>
    </w:p>
    <w:p w:rsidR="00E32200" w:rsidRDefault="00E32200" w:rsidP="00E32200"/>
    <w:p w:rsidR="002A64D8" w:rsidRDefault="00E32200" w:rsidP="00E32200">
      <w:r>
        <w:t>2.3</w:t>
      </w:r>
      <w:r>
        <w:tab/>
        <w:t>An example of a qualification for auditors and personnel who review audit reports and make certification decisions is the completion of a course on ISO 55001 that covers the requirements for knowledge and understanding specified in ISO/IEC TS 17021-5. Completion of other courses that cover the requirements for knowledge and understanding specified in ISO/IEC TS 17021-5 is also another qualification.</w:t>
      </w:r>
    </w:p>
    <w:p w:rsidR="00E32200" w:rsidRDefault="00E32200" w:rsidP="00E87D20"/>
    <w:p w:rsidR="0020021D" w:rsidRPr="0020021D" w:rsidRDefault="0020021D" w:rsidP="0020021D">
      <w:pPr>
        <w:rPr>
          <w:b/>
        </w:rPr>
      </w:pPr>
      <w:r w:rsidRPr="0020021D">
        <w:rPr>
          <w:b/>
        </w:rPr>
        <w:t>3</w:t>
      </w:r>
      <w:r w:rsidRPr="0020021D">
        <w:rPr>
          <w:b/>
        </w:rPr>
        <w:tab/>
        <w:t>Duration of Asset Management Audits</w:t>
      </w:r>
    </w:p>
    <w:p w:rsidR="0020021D" w:rsidRDefault="0020021D" w:rsidP="0020021D"/>
    <w:p w:rsidR="0020021D" w:rsidRDefault="0020021D" w:rsidP="0020021D">
      <w:r>
        <w:t>3.1</w:t>
      </w:r>
      <w:r>
        <w:tab/>
        <w:t>In addition to IAF Mandatory Documents 1 and 5, the following guidance applies:</w:t>
      </w:r>
    </w:p>
    <w:p w:rsidR="00F05D41" w:rsidRDefault="00F05D41" w:rsidP="00F05D41">
      <w:r>
        <w:t>a.</w:t>
      </w:r>
      <w:r>
        <w:tab/>
        <w:t>Estimation of audit duration</w:t>
      </w:r>
    </w:p>
    <w:p w:rsidR="00F05D41" w:rsidRDefault="00F05D41" w:rsidP="00F05D41">
      <w:r>
        <w:t>i.</w:t>
      </w:r>
      <w:r>
        <w:tab/>
        <w:t>The number of sites at which asset management activities are conducted or managed</w:t>
      </w:r>
    </w:p>
    <w:p w:rsidR="00F05D41" w:rsidRDefault="00F05D41" w:rsidP="00F05D41">
      <w:r>
        <w:t>In a manufacturing environment, the assets will tend to be items of plant which are contained within a limited number of discrete sites. The sites containing the assets themselves will also house the facilities and personnel involved in their management.</w:t>
      </w:r>
    </w:p>
    <w:p w:rsidR="00F05D41" w:rsidRDefault="00F05D41" w:rsidP="00F05D41">
      <w:r>
        <w:lastRenderedPageBreak/>
        <w:t>In other organisations, the assets themselves may be scattered across locations but the management and support activities are located elsewhere in offices, depots and workshops.</w:t>
      </w:r>
    </w:p>
    <w:p w:rsidR="00E32200" w:rsidRDefault="00F05D41" w:rsidP="00F05D41">
      <w:r>
        <w:t>The audit will need to include visits to the locations at which asset management activities are conducted – not necessarily to the assets themselves, except as required, to determine that the asset management arrangements are appropriate and are being effectively implemented.</w:t>
      </w:r>
    </w:p>
    <w:p w:rsidR="005D2604" w:rsidRDefault="005D2604" w:rsidP="00F05D41"/>
    <w:p w:rsidR="005D2604" w:rsidRDefault="005D2604" w:rsidP="005D2604">
      <w:r>
        <w:t>ii.</w:t>
      </w:r>
      <w:r>
        <w:tab/>
        <w:t>The number of people employed directly or indirectly in the asset management activities.</w:t>
      </w:r>
    </w:p>
    <w:p w:rsidR="005D2604" w:rsidRDefault="005D2604" w:rsidP="005D2604">
      <w:r>
        <w:t>The total number of people involved in the range of asset management activities from management to operational levels should be determined.</w:t>
      </w:r>
    </w:p>
    <w:p w:rsidR="005D2604" w:rsidRDefault="005D2604" w:rsidP="005D2604">
      <w:r>
        <w:t>In determining the number of people, account should be taken of contractors, sub-contractors and shift working. The effective number of people will be the number of people involved in asset management activities at any one time. This will include asset managers, engineering, and maintenance and installation personnel. Consideration also needs to be given to support functions with responsibilities under ISO 55001 (eg. HR, procurement, etc).</w:t>
      </w:r>
    </w:p>
    <w:p w:rsidR="0020021D" w:rsidRDefault="0020021D" w:rsidP="00E87D20"/>
    <w:p w:rsidR="00DE0684" w:rsidRDefault="00DE0684" w:rsidP="00DE0684">
      <w:r>
        <w:t>b.</w:t>
      </w:r>
      <w:r>
        <w:tab/>
        <w:t>Factors which may increase or decrease duration</w:t>
      </w:r>
    </w:p>
    <w:p w:rsidR="00DE0684" w:rsidRDefault="00DE0684" w:rsidP="00DE0684"/>
    <w:p w:rsidR="0020021D" w:rsidRDefault="00DE0684" w:rsidP="00DE0684">
      <w:r>
        <w:t>The factors in the following table provide some guidance when considering adjustments which may be made to the audit durations. The justification for increasing or decreasing time spent on audits must be recorded.</w:t>
      </w:r>
    </w:p>
    <w:p w:rsidR="00DE0684" w:rsidRDefault="00DE0684" w:rsidP="00DE0684"/>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3768"/>
      </w:tblGrid>
      <w:tr w:rsidR="00EB2DF6" w:rsidTr="00615173">
        <w:trPr>
          <w:trHeight w:val="671"/>
        </w:trPr>
        <w:tc>
          <w:tcPr>
            <w:tcW w:w="3716" w:type="dxa"/>
            <w:shd w:val="clear" w:color="auto" w:fill="D9D9D9"/>
          </w:tcPr>
          <w:p w:rsidR="00EB2DF6" w:rsidRDefault="00EB2DF6" w:rsidP="00615173">
            <w:pPr>
              <w:pStyle w:val="TableParagraph"/>
              <w:ind w:right="834"/>
              <w:rPr>
                <w:sz w:val="24"/>
              </w:rPr>
            </w:pPr>
            <w:r>
              <w:rPr>
                <w:spacing w:val="-1"/>
                <w:sz w:val="24"/>
              </w:rPr>
              <w:t>Factors</w:t>
            </w:r>
            <w:r>
              <w:rPr>
                <w:spacing w:val="-15"/>
                <w:sz w:val="24"/>
              </w:rPr>
              <w:t xml:space="preserve"> </w:t>
            </w:r>
            <w:r>
              <w:rPr>
                <w:sz w:val="24"/>
              </w:rPr>
              <w:t>which</w:t>
            </w:r>
            <w:r>
              <w:rPr>
                <w:spacing w:val="-16"/>
                <w:sz w:val="24"/>
              </w:rPr>
              <w:t xml:space="preserve"> </w:t>
            </w:r>
            <w:r>
              <w:rPr>
                <w:sz w:val="24"/>
              </w:rPr>
              <w:t>may</w:t>
            </w:r>
            <w:r>
              <w:rPr>
                <w:spacing w:val="-17"/>
                <w:sz w:val="24"/>
              </w:rPr>
              <w:t xml:space="preserve"> </w:t>
            </w:r>
            <w:r>
              <w:rPr>
                <w:sz w:val="24"/>
              </w:rPr>
              <w:t>reduce</w:t>
            </w:r>
            <w:r>
              <w:rPr>
                <w:spacing w:val="-63"/>
                <w:sz w:val="24"/>
              </w:rPr>
              <w:t xml:space="preserve"> </w:t>
            </w:r>
            <w:r>
              <w:rPr>
                <w:sz w:val="24"/>
              </w:rPr>
              <w:t>duration</w:t>
            </w:r>
          </w:p>
        </w:tc>
        <w:tc>
          <w:tcPr>
            <w:tcW w:w="3768" w:type="dxa"/>
            <w:shd w:val="clear" w:color="auto" w:fill="D9D9D9"/>
          </w:tcPr>
          <w:p w:rsidR="00EB2DF6" w:rsidRDefault="00EB2DF6" w:rsidP="00615173">
            <w:pPr>
              <w:pStyle w:val="TableParagraph"/>
              <w:ind w:left="107" w:right="714"/>
              <w:rPr>
                <w:sz w:val="24"/>
              </w:rPr>
            </w:pPr>
            <w:r>
              <w:rPr>
                <w:spacing w:val="-1"/>
                <w:sz w:val="24"/>
              </w:rPr>
              <w:t>Factors</w:t>
            </w:r>
            <w:r>
              <w:rPr>
                <w:spacing w:val="-15"/>
                <w:sz w:val="24"/>
              </w:rPr>
              <w:t xml:space="preserve"> </w:t>
            </w:r>
            <w:r>
              <w:rPr>
                <w:spacing w:val="-1"/>
                <w:sz w:val="24"/>
              </w:rPr>
              <w:t>which</w:t>
            </w:r>
            <w:r>
              <w:rPr>
                <w:spacing w:val="-15"/>
                <w:sz w:val="24"/>
              </w:rPr>
              <w:t xml:space="preserve"> </w:t>
            </w:r>
            <w:r>
              <w:rPr>
                <w:sz w:val="24"/>
              </w:rPr>
              <w:t>may</w:t>
            </w:r>
            <w:r>
              <w:rPr>
                <w:spacing w:val="-16"/>
                <w:sz w:val="24"/>
              </w:rPr>
              <w:t xml:space="preserve"> </w:t>
            </w:r>
            <w:r>
              <w:rPr>
                <w:sz w:val="24"/>
              </w:rPr>
              <w:t>increase</w:t>
            </w:r>
            <w:r>
              <w:rPr>
                <w:spacing w:val="-64"/>
                <w:sz w:val="24"/>
              </w:rPr>
              <w:t xml:space="preserve"> </w:t>
            </w:r>
            <w:r>
              <w:rPr>
                <w:sz w:val="24"/>
              </w:rPr>
              <w:t>duration</w:t>
            </w:r>
          </w:p>
        </w:tc>
      </w:tr>
      <w:tr w:rsidR="00EB2DF6" w:rsidTr="00615173">
        <w:trPr>
          <w:trHeight w:val="1223"/>
        </w:trPr>
        <w:tc>
          <w:tcPr>
            <w:tcW w:w="3716" w:type="dxa"/>
          </w:tcPr>
          <w:p w:rsidR="00EB2DF6" w:rsidRDefault="00EB2DF6" w:rsidP="00615173">
            <w:pPr>
              <w:pStyle w:val="TableParagraph"/>
              <w:ind w:right="296"/>
              <w:rPr>
                <w:sz w:val="24"/>
              </w:rPr>
            </w:pPr>
            <w:r>
              <w:rPr>
                <w:sz w:val="24"/>
              </w:rPr>
              <w:t>Few</w:t>
            </w:r>
            <w:r>
              <w:rPr>
                <w:spacing w:val="-14"/>
                <w:sz w:val="24"/>
              </w:rPr>
              <w:t xml:space="preserve"> </w:t>
            </w:r>
            <w:r>
              <w:rPr>
                <w:sz w:val="24"/>
              </w:rPr>
              <w:t>locations</w:t>
            </w:r>
            <w:r>
              <w:rPr>
                <w:spacing w:val="-12"/>
                <w:sz w:val="24"/>
              </w:rPr>
              <w:t xml:space="preserve"> </w:t>
            </w:r>
            <w:r>
              <w:rPr>
                <w:sz w:val="24"/>
              </w:rPr>
              <w:t>which</w:t>
            </w:r>
            <w:r>
              <w:rPr>
                <w:spacing w:val="-13"/>
                <w:sz w:val="24"/>
              </w:rPr>
              <w:t xml:space="preserve"> </w:t>
            </w:r>
            <w:r>
              <w:rPr>
                <w:sz w:val="24"/>
              </w:rPr>
              <w:t>need</w:t>
            </w:r>
            <w:r>
              <w:rPr>
                <w:spacing w:val="-12"/>
                <w:sz w:val="24"/>
              </w:rPr>
              <w:t xml:space="preserve"> </w:t>
            </w:r>
            <w:r>
              <w:rPr>
                <w:sz w:val="24"/>
              </w:rPr>
              <w:t>to</w:t>
            </w:r>
            <w:r>
              <w:rPr>
                <w:spacing w:val="-13"/>
                <w:sz w:val="24"/>
              </w:rPr>
              <w:t xml:space="preserve"> </w:t>
            </w:r>
            <w:r>
              <w:rPr>
                <w:sz w:val="24"/>
              </w:rPr>
              <w:t>be</w:t>
            </w:r>
            <w:r>
              <w:rPr>
                <w:spacing w:val="-64"/>
                <w:sz w:val="24"/>
              </w:rPr>
              <w:t xml:space="preserve"> </w:t>
            </w:r>
            <w:r>
              <w:rPr>
                <w:sz w:val="24"/>
              </w:rPr>
              <w:t>visited</w:t>
            </w:r>
          </w:p>
        </w:tc>
        <w:tc>
          <w:tcPr>
            <w:tcW w:w="3768" w:type="dxa"/>
          </w:tcPr>
          <w:p w:rsidR="00EB2DF6" w:rsidRDefault="00EB2DF6" w:rsidP="00615173">
            <w:pPr>
              <w:pStyle w:val="TableParagraph"/>
              <w:ind w:left="107" w:right="341"/>
              <w:rPr>
                <w:sz w:val="24"/>
              </w:rPr>
            </w:pPr>
            <w:r>
              <w:rPr>
                <w:sz w:val="24"/>
              </w:rPr>
              <w:t>Geographical location of asset</w:t>
            </w:r>
            <w:r>
              <w:rPr>
                <w:spacing w:val="1"/>
                <w:sz w:val="24"/>
              </w:rPr>
              <w:t xml:space="preserve"> </w:t>
            </w:r>
            <w:r>
              <w:rPr>
                <w:sz w:val="24"/>
              </w:rPr>
              <w:t>containing or operational sites</w:t>
            </w:r>
            <w:r>
              <w:rPr>
                <w:spacing w:val="1"/>
                <w:sz w:val="24"/>
              </w:rPr>
              <w:t xml:space="preserve"> </w:t>
            </w:r>
            <w:r>
              <w:rPr>
                <w:sz w:val="24"/>
              </w:rPr>
              <w:t>which</w:t>
            </w:r>
            <w:r>
              <w:rPr>
                <w:spacing w:val="-12"/>
                <w:sz w:val="24"/>
              </w:rPr>
              <w:t xml:space="preserve"> </w:t>
            </w:r>
            <w:r>
              <w:rPr>
                <w:sz w:val="24"/>
              </w:rPr>
              <w:t>need</w:t>
            </w:r>
            <w:r>
              <w:rPr>
                <w:spacing w:val="-12"/>
                <w:sz w:val="24"/>
              </w:rPr>
              <w:t xml:space="preserve"> </w:t>
            </w:r>
            <w:r>
              <w:rPr>
                <w:sz w:val="24"/>
              </w:rPr>
              <w:t>to</w:t>
            </w:r>
            <w:r>
              <w:rPr>
                <w:spacing w:val="-12"/>
                <w:sz w:val="24"/>
              </w:rPr>
              <w:t xml:space="preserve"> </w:t>
            </w:r>
            <w:r>
              <w:rPr>
                <w:sz w:val="24"/>
              </w:rPr>
              <w:t>be</w:t>
            </w:r>
            <w:r>
              <w:rPr>
                <w:spacing w:val="-12"/>
                <w:sz w:val="24"/>
              </w:rPr>
              <w:t xml:space="preserve"> </w:t>
            </w:r>
            <w:r>
              <w:rPr>
                <w:sz w:val="24"/>
              </w:rPr>
              <w:t>visited</w:t>
            </w:r>
            <w:r>
              <w:rPr>
                <w:spacing w:val="-11"/>
                <w:sz w:val="24"/>
              </w:rPr>
              <w:t xml:space="preserve"> </w:t>
            </w:r>
            <w:r>
              <w:rPr>
                <w:sz w:val="24"/>
              </w:rPr>
              <w:t>as</w:t>
            </w:r>
            <w:r>
              <w:rPr>
                <w:spacing w:val="-13"/>
                <w:sz w:val="24"/>
              </w:rPr>
              <w:t xml:space="preserve"> </w:t>
            </w:r>
            <w:r>
              <w:rPr>
                <w:sz w:val="24"/>
              </w:rPr>
              <w:t>part</w:t>
            </w:r>
            <w:r>
              <w:rPr>
                <w:spacing w:val="-64"/>
                <w:sz w:val="24"/>
              </w:rPr>
              <w:t xml:space="preserve"> </w:t>
            </w:r>
            <w:r>
              <w:rPr>
                <w:sz w:val="24"/>
              </w:rPr>
              <w:t>of</w:t>
            </w:r>
            <w:r>
              <w:rPr>
                <w:spacing w:val="-3"/>
                <w:sz w:val="24"/>
              </w:rPr>
              <w:t xml:space="preserve"> </w:t>
            </w:r>
            <w:r>
              <w:rPr>
                <w:sz w:val="24"/>
              </w:rPr>
              <w:t>the</w:t>
            </w:r>
            <w:r>
              <w:rPr>
                <w:spacing w:val="-5"/>
                <w:sz w:val="24"/>
              </w:rPr>
              <w:t xml:space="preserve"> </w:t>
            </w:r>
            <w:r>
              <w:rPr>
                <w:sz w:val="24"/>
              </w:rPr>
              <w:t>audit.</w:t>
            </w:r>
          </w:p>
        </w:tc>
      </w:tr>
      <w:tr w:rsidR="00EB2DF6" w:rsidTr="00615173">
        <w:trPr>
          <w:trHeight w:val="1500"/>
        </w:trPr>
        <w:tc>
          <w:tcPr>
            <w:tcW w:w="3716" w:type="dxa"/>
          </w:tcPr>
          <w:p w:rsidR="00EB2DF6" w:rsidRDefault="00EB2DF6" w:rsidP="00615173">
            <w:pPr>
              <w:pStyle w:val="TableParagraph"/>
              <w:ind w:right="524"/>
              <w:rPr>
                <w:sz w:val="24"/>
              </w:rPr>
            </w:pPr>
            <w:r>
              <w:rPr>
                <w:spacing w:val="-1"/>
                <w:sz w:val="24"/>
              </w:rPr>
              <w:t xml:space="preserve">Central management </w:t>
            </w:r>
            <w:r>
              <w:rPr>
                <w:sz w:val="24"/>
              </w:rPr>
              <w:t>control</w:t>
            </w:r>
            <w:r>
              <w:rPr>
                <w:spacing w:val="-64"/>
                <w:sz w:val="24"/>
              </w:rPr>
              <w:t xml:space="preserve"> </w:t>
            </w:r>
            <w:r>
              <w:rPr>
                <w:sz w:val="24"/>
              </w:rPr>
              <w:t>systems, easy access to</w:t>
            </w:r>
            <w:r>
              <w:rPr>
                <w:spacing w:val="1"/>
                <w:sz w:val="24"/>
              </w:rPr>
              <w:t xml:space="preserve"> </w:t>
            </w:r>
            <w:r>
              <w:rPr>
                <w:spacing w:val="-1"/>
                <w:sz w:val="24"/>
              </w:rPr>
              <w:t>computerised</w:t>
            </w:r>
            <w:r>
              <w:rPr>
                <w:spacing w:val="-15"/>
                <w:sz w:val="24"/>
              </w:rPr>
              <w:t xml:space="preserve"> </w:t>
            </w:r>
            <w:r>
              <w:rPr>
                <w:spacing w:val="-1"/>
                <w:sz w:val="24"/>
              </w:rPr>
              <w:t>records.</w:t>
            </w:r>
            <w:r>
              <w:rPr>
                <w:spacing w:val="-15"/>
                <w:sz w:val="24"/>
              </w:rPr>
              <w:t xml:space="preserve"> </w:t>
            </w:r>
            <w:r>
              <w:rPr>
                <w:sz w:val="24"/>
              </w:rPr>
              <w:t>A</w:t>
            </w:r>
            <w:r>
              <w:rPr>
                <w:spacing w:val="-15"/>
                <w:sz w:val="24"/>
              </w:rPr>
              <w:t xml:space="preserve"> </w:t>
            </w:r>
            <w:r>
              <w:rPr>
                <w:sz w:val="24"/>
              </w:rPr>
              <w:t>high</w:t>
            </w:r>
            <w:r>
              <w:rPr>
                <w:spacing w:val="-64"/>
                <w:sz w:val="24"/>
              </w:rPr>
              <w:t xml:space="preserve"> </w:t>
            </w:r>
            <w:r>
              <w:rPr>
                <w:sz w:val="24"/>
              </w:rPr>
              <w:t>level</w:t>
            </w:r>
            <w:r>
              <w:rPr>
                <w:spacing w:val="-15"/>
                <w:sz w:val="24"/>
              </w:rPr>
              <w:t xml:space="preserve"> </w:t>
            </w:r>
            <w:r>
              <w:rPr>
                <w:sz w:val="24"/>
              </w:rPr>
              <w:t>of</w:t>
            </w:r>
            <w:r>
              <w:rPr>
                <w:spacing w:val="-11"/>
                <w:sz w:val="24"/>
              </w:rPr>
              <w:t xml:space="preserve"> </w:t>
            </w:r>
            <w:r>
              <w:rPr>
                <w:sz w:val="24"/>
              </w:rPr>
              <w:t>systems</w:t>
            </w:r>
            <w:r>
              <w:rPr>
                <w:spacing w:val="-14"/>
                <w:sz w:val="24"/>
              </w:rPr>
              <w:t xml:space="preserve"> </w:t>
            </w:r>
            <w:r>
              <w:rPr>
                <w:sz w:val="24"/>
              </w:rPr>
              <w:t>integration.</w:t>
            </w:r>
          </w:p>
        </w:tc>
        <w:tc>
          <w:tcPr>
            <w:tcW w:w="3768" w:type="dxa"/>
          </w:tcPr>
          <w:p w:rsidR="00EB2DF6" w:rsidRDefault="00EB2DF6" w:rsidP="00615173">
            <w:pPr>
              <w:pStyle w:val="TableParagraph"/>
              <w:ind w:left="107" w:right="209"/>
              <w:rPr>
                <w:sz w:val="24"/>
              </w:rPr>
            </w:pPr>
            <w:r>
              <w:rPr>
                <w:spacing w:val="-1"/>
                <w:sz w:val="24"/>
              </w:rPr>
              <w:t xml:space="preserve">Devolved organisation </w:t>
            </w:r>
            <w:r>
              <w:rPr>
                <w:sz w:val="24"/>
              </w:rPr>
              <w:t>with local</w:t>
            </w:r>
            <w:r>
              <w:rPr>
                <w:spacing w:val="-64"/>
                <w:sz w:val="24"/>
              </w:rPr>
              <w:t xml:space="preserve"> </w:t>
            </w:r>
            <w:r>
              <w:rPr>
                <w:sz w:val="24"/>
              </w:rPr>
              <w:t>autonomy and diversity of</w:t>
            </w:r>
            <w:r>
              <w:rPr>
                <w:spacing w:val="1"/>
                <w:sz w:val="24"/>
              </w:rPr>
              <w:t xml:space="preserve"> </w:t>
            </w:r>
            <w:r>
              <w:rPr>
                <w:spacing w:val="-1"/>
                <w:sz w:val="24"/>
              </w:rPr>
              <w:t>systems</w:t>
            </w:r>
            <w:r>
              <w:rPr>
                <w:spacing w:val="-15"/>
                <w:sz w:val="24"/>
              </w:rPr>
              <w:t xml:space="preserve"> </w:t>
            </w:r>
            <w:r>
              <w:rPr>
                <w:spacing w:val="-1"/>
                <w:sz w:val="24"/>
              </w:rPr>
              <w:t>across</w:t>
            </w:r>
            <w:r>
              <w:rPr>
                <w:spacing w:val="-15"/>
                <w:sz w:val="24"/>
              </w:rPr>
              <w:t xml:space="preserve"> </w:t>
            </w:r>
            <w:r>
              <w:rPr>
                <w:spacing w:val="-1"/>
                <w:sz w:val="24"/>
              </w:rPr>
              <w:t>the</w:t>
            </w:r>
            <w:r>
              <w:rPr>
                <w:spacing w:val="-14"/>
                <w:sz w:val="24"/>
              </w:rPr>
              <w:t xml:space="preserve"> </w:t>
            </w:r>
            <w:r>
              <w:rPr>
                <w:spacing w:val="-1"/>
                <w:sz w:val="24"/>
              </w:rPr>
              <w:t>organisation.</w:t>
            </w:r>
            <w:r>
              <w:rPr>
                <w:spacing w:val="-64"/>
                <w:sz w:val="24"/>
              </w:rPr>
              <w:t xml:space="preserve"> </w:t>
            </w:r>
            <w:r>
              <w:rPr>
                <w:sz w:val="24"/>
              </w:rPr>
              <w:t>Records and personnel not</w:t>
            </w:r>
            <w:r>
              <w:rPr>
                <w:spacing w:val="1"/>
                <w:sz w:val="24"/>
              </w:rPr>
              <w:t xml:space="preserve"> </w:t>
            </w:r>
            <w:r>
              <w:rPr>
                <w:sz w:val="24"/>
              </w:rPr>
              <w:t>centralised.</w:t>
            </w:r>
          </w:p>
        </w:tc>
      </w:tr>
      <w:tr w:rsidR="00EB2DF6" w:rsidTr="00615173">
        <w:trPr>
          <w:trHeight w:val="671"/>
        </w:trPr>
        <w:tc>
          <w:tcPr>
            <w:tcW w:w="3716" w:type="dxa"/>
          </w:tcPr>
          <w:p w:rsidR="00EB2DF6" w:rsidRDefault="00EB2DF6" w:rsidP="00615173">
            <w:pPr>
              <w:pStyle w:val="TableParagraph"/>
              <w:tabs>
                <w:tab w:val="left" w:pos="1114"/>
                <w:tab w:val="left" w:pos="2575"/>
              </w:tabs>
              <w:rPr>
                <w:sz w:val="24"/>
              </w:rPr>
            </w:pPr>
            <w:r>
              <w:rPr>
                <w:sz w:val="24"/>
              </w:rPr>
              <w:t>System</w:t>
            </w:r>
            <w:r>
              <w:rPr>
                <w:sz w:val="24"/>
              </w:rPr>
              <w:tab/>
              <w:t>redundancy</w:t>
            </w:r>
            <w:r>
              <w:rPr>
                <w:sz w:val="24"/>
              </w:rPr>
              <w:tab/>
            </w:r>
            <w:r>
              <w:rPr>
                <w:spacing w:val="-1"/>
                <w:sz w:val="24"/>
              </w:rPr>
              <w:t>mitigating</w:t>
            </w:r>
            <w:r>
              <w:rPr>
                <w:spacing w:val="-64"/>
                <w:sz w:val="24"/>
              </w:rPr>
              <w:t xml:space="preserve"> </w:t>
            </w:r>
            <w:r>
              <w:rPr>
                <w:sz w:val="24"/>
              </w:rPr>
              <w:t>consequences</w:t>
            </w:r>
            <w:r>
              <w:rPr>
                <w:spacing w:val="-4"/>
                <w:sz w:val="24"/>
              </w:rPr>
              <w:t xml:space="preserve"> </w:t>
            </w:r>
            <w:r>
              <w:rPr>
                <w:sz w:val="24"/>
              </w:rPr>
              <w:t>of</w:t>
            </w:r>
            <w:r>
              <w:rPr>
                <w:spacing w:val="1"/>
                <w:sz w:val="24"/>
              </w:rPr>
              <w:t xml:space="preserve"> </w:t>
            </w:r>
            <w:r>
              <w:rPr>
                <w:sz w:val="24"/>
              </w:rPr>
              <w:t>asset</w:t>
            </w:r>
            <w:r>
              <w:rPr>
                <w:spacing w:val="-3"/>
                <w:sz w:val="24"/>
              </w:rPr>
              <w:t xml:space="preserve"> </w:t>
            </w:r>
            <w:r>
              <w:rPr>
                <w:sz w:val="24"/>
              </w:rPr>
              <w:lastRenderedPageBreak/>
              <w:t>failure</w:t>
            </w:r>
          </w:p>
        </w:tc>
        <w:tc>
          <w:tcPr>
            <w:tcW w:w="3768" w:type="dxa"/>
          </w:tcPr>
          <w:p w:rsidR="00EB2DF6" w:rsidRDefault="00EB2DF6" w:rsidP="00615173">
            <w:pPr>
              <w:pStyle w:val="TableParagraph"/>
              <w:ind w:left="107" w:right="458"/>
              <w:rPr>
                <w:sz w:val="24"/>
              </w:rPr>
            </w:pPr>
            <w:r>
              <w:rPr>
                <w:sz w:val="24"/>
              </w:rPr>
              <w:lastRenderedPageBreak/>
              <w:t>Criticality of assets with high</w:t>
            </w:r>
            <w:r>
              <w:rPr>
                <w:spacing w:val="1"/>
                <w:sz w:val="24"/>
              </w:rPr>
              <w:t xml:space="preserve"> </w:t>
            </w:r>
            <w:r>
              <w:rPr>
                <w:spacing w:val="-1"/>
                <w:sz w:val="24"/>
              </w:rPr>
              <w:t>consequences</w:t>
            </w:r>
            <w:r>
              <w:rPr>
                <w:spacing w:val="-14"/>
                <w:sz w:val="24"/>
              </w:rPr>
              <w:t xml:space="preserve"> </w:t>
            </w:r>
            <w:r>
              <w:rPr>
                <w:spacing w:val="-1"/>
                <w:sz w:val="24"/>
              </w:rPr>
              <w:t>of</w:t>
            </w:r>
            <w:r>
              <w:rPr>
                <w:spacing w:val="-13"/>
                <w:sz w:val="24"/>
              </w:rPr>
              <w:t xml:space="preserve"> </w:t>
            </w:r>
            <w:r>
              <w:rPr>
                <w:spacing w:val="-1"/>
                <w:sz w:val="24"/>
              </w:rPr>
              <w:t>asset</w:t>
            </w:r>
            <w:r>
              <w:rPr>
                <w:spacing w:val="-15"/>
                <w:sz w:val="24"/>
              </w:rPr>
              <w:t xml:space="preserve"> </w:t>
            </w:r>
            <w:r>
              <w:rPr>
                <w:spacing w:val="-1"/>
                <w:sz w:val="24"/>
              </w:rPr>
              <w:t>failure.</w:t>
            </w:r>
          </w:p>
        </w:tc>
      </w:tr>
      <w:tr w:rsidR="00EB2DF6" w:rsidTr="00615173">
        <w:trPr>
          <w:trHeight w:val="950"/>
        </w:trPr>
        <w:tc>
          <w:tcPr>
            <w:tcW w:w="3716" w:type="dxa"/>
          </w:tcPr>
          <w:p w:rsidR="00EB2DF6" w:rsidRDefault="00EB2DF6" w:rsidP="00615173">
            <w:pPr>
              <w:pStyle w:val="TableParagraph"/>
              <w:ind w:right="836"/>
              <w:rPr>
                <w:sz w:val="24"/>
              </w:rPr>
            </w:pPr>
            <w:r>
              <w:rPr>
                <w:spacing w:val="-1"/>
                <w:sz w:val="24"/>
              </w:rPr>
              <w:t>Modern</w:t>
            </w:r>
            <w:r>
              <w:rPr>
                <w:spacing w:val="-15"/>
                <w:sz w:val="24"/>
              </w:rPr>
              <w:t xml:space="preserve"> </w:t>
            </w:r>
            <w:r>
              <w:rPr>
                <w:spacing w:val="-1"/>
                <w:sz w:val="24"/>
              </w:rPr>
              <w:t>assets</w:t>
            </w:r>
            <w:r>
              <w:rPr>
                <w:spacing w:val="-15"/>
                <w:sz w:val="24"/>
              </w:rPr>
              <w:t xml:space="preserve"> </w:t>
            </w:r>
            <w:r>
              <w:rPr>
                <w:sz w:val="24"/>
              </w:rPr>
              <w:t>with</w:t>
            </w:r>
            <w:r>
              <w:rPr>
                <w:spacing w:val="-15"/>
                <w:sz w:val="24"/>
              </w:rPr>
              <w:t xml:space="preserve"> </w:t>
            </w:r>
            <w:r>
              <w:rPr>
                <w:sz w:val="24"/>
              </w:rPr>
              <w:t>higher</w:t>
            </w:r>
            <w:r>
              <w:rPr>
                <w:spacing w:val="-63"/>
                <w:sz w:val="24"/>
              </w:rPr>
              <w:t xml:space="preserve"> </w:t>
            </w:r>
            <w:r>
              <w:rPr>
                <w:sz w:val="24"/>
              </w:rPr>
              <w:t>reliability requiring less</w:t>
            </w:r>
            <w:r>
              <w:rPr>
                <w:spacing w:val="1"/>
                <w:sz w:val="24"/>
              </w:rPr>
              <w:t xml:space="preserve"> </w:t>
            </w:r>
            <w:r>
              <w:rPr>
                <w:sz w:val="24"/>
              </w:rPr>
              <w:t>maintenance</w:t>
            </w:r>
          </w:p>
        </w:tc>
        <w:tc>
          <w:tcPr>
            <w:tcW w:w="3768" w:type="dxa"/>
          </w:tcPr>
          <w:p w:rsidR="00EB2DF6" w:rsidRDefault="00EB2DF6" w:rsidP="00615173">
            <w:pPr>
              <w:pStyle w:val="TableParagraph"/>
              <w:ind w:left="107" w:right="344"/>
              <w:rPr>
                <w:sz w:val="24"/>
              </w:rPr>
            </w:pPr>
            <w:r>
              <w:rPr>
                <w:spacing w:val="-1"/>
                <w:sz w:val="24"/>
              </w:rPr>
              <w:t>Older</w:t>
            </w:r>
            <w:r>
              <w:rPr>
                <w:spacing w:val="-15"/>
                <w:sz w:val="24"/>
              </w:rPr>
              <w:t xml:space="preserve"> </w:t>
            </w:r>
            <w:r>
              <w:rPr>
                <w:spacing w:val="-1"/>
                <w:sz w:val="24"/>
              </w:rPr>
              <w:t>assets</w:t>
            </w:r>
            <w:r>
              <w:rPr>
                <w:spacing w:val="-15"/>
                <w:sz w:val="24"/>
              </w:rPr>
              <w:t xml:space="preserve"> </w:t>
            </w:r>
            <w:r>
              <w:rPr>
                <w:spacing w:val="-1"/>
                <w:sz w:val="24"/>
              </w:rPr>
              <w:t>requiring</w:t>
            </w:r>
            <w:r>
              <w:rPr>
                <w:spacing w:val="-16"/>
                <w:sz w:val="24"/>
              </w:rPr>
              <w:t xml:space="preserve"> </w:t>
            </w:r>
            <w:r>
              <w:rPr>
                <w:spacing w:val="-1"/>
                <w:sz w:val="24"/>
              </w:rPr>
              <w:t>intensive</w:t>
            </w:r>
            <w:r>
              <w:rPr>
                <w:spacing w:val="-63"/>
                <w:sz w:val="24"/>
              </w:rPr>
              <w:t xml:space="preserve"> </w:t>
            </w:r>
            <w:r>
              <w:rPr>
                <w:sz w:val="24"/>
              </w:rPr>
              <w:t>maintenance.</w:t>
            </w:r>
          </w:p>
        </w:tc>
      </w:tr>
    </w:tbl>
    <w:p w:rsidR="00DE0684" w:rsidRDefault="00DE0684" w:rsidP="00DE0684"/>
    <w:p w:rsidR="00E32200" w:rsidRDefault="00E32200" w:rsidP="00E87D20"/>
    <w:p w:rsidR="00250764" w:rsidRDefault="00AB2159" w:rsidP="00250764">
      <w:pPr>
        <w:rPr>
          <w:b/>
        </w:rPr>
      </w:pPr>
      <w:r>
        <w:rPr>
          <w:b/>
        </w:rPr>
        <w:t>4</w:t>
      </w:r>
      <w:r w:rsidR="00250764">
        <w:rPr>
          <w:b/>
        </w:rPr>
        <w:tab/>
        <w:t>Implementation</w:t>
      </w:r>
    </w:p>
    <w:p w:rsidR="00250764" w:rsidRDefault="00AB2159" w:rsidP="00250764">
      <w:r>
        <w:t>4</w:t>
      </w:r>
      <w:r w:rsidR="00250764">
        <w:t>.1</w:t>
      </w:r>
      <w:r w:rsidR="00250764">
        <w:tab/>
        <w:t>T</w:t>
      </w:r>
      <w:r w:rsidR="002D5E13">
        <w:t xml:space="preserve">his </w:t>
      </w:r>
      <w:r w:rsidR="00B114D6">
        <w:t>instruction is a part of IRNAC</w:t>
      </w:r>
      <w:r w:rsidR="002D5E13">
        <w:t>-G-</w:t>
      </w:r>
      <w:r w:rsidR="00250764">
        <w:t>28 Guidelines for Accreditation of  Conf</w:t>
      </w:r>
      <w:r w:rsidR="002D5E13">
        <w:t>or</w:t>
      </w:r>
      <w:r w:rsidR="00B114D6">
        <w:t>mity Assessment Bodies and IRNAC</w:t>
      </w:r>
      <w:bookmarkStart w:id="0" w:name="_GoBack"/>
      <w:bookmarkEnd w:id="0"/>
      <w:r w:rsidR="002D5E13">
        <w:t>-P-</w:t>
      </w:r>
      <w:r w:rsidR="00250764">
        <w:t>01 Accreditation Procedure of CABs, these will be use together. Cannot be used separately.</w:t>
      </w:r>
    </w:p>
    <w:p w:rsidR="00C02760" w:rsidRDefault="00C02760" w:rsidP="00250764"/>
    <w:sectPr w:rsidR="00C027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0E9" w:rsidRDefault="005950E9" w:rsidP="007C2378">
      <w:pPr>
        <w:spacing w:after="0" w:line="240" w:lineRule="auto"/>
      </w:pPr>
      <w:r>
        <w:separator/>
      </w:r>
    </w:p>
  </w:endnote>
  <w:endnote w:type="continuationSeparator" w:id="0">
    <w:p w:rsidR="005950E9" w:rsidRDefault="005950E9" w:rsidP="007C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85" w:rsidRDefault="00205485">
    <w:pPr>
      <w:pStyle w:val="AltBilgi"/>
      <w:jc w:val="right"/>
    </w:pPr>
  </w:p>
  <w:p w:rsidR="00205485" w:rsidRDefault="00DB0C52" w:rsidP="00205485">
    <w:pPr>
      <w:pStyle w:val="AltBilgi"/>
    </w:pPr>
    <w:r>
      <w:t>IRNAC</w:t>
    </w:r>
    <w:r w:rsidR="002D5E13">
      <w:t>-IN-</w:t>
    </w:r>
    <w:r w:rsidR="002A64D8">
      <w:t>25</w:t>
    </w:r>
    <w:r>
      <w:t>-01/04/2023</w:t>
    </w:r>
  </w:p>
  <w:p w:rsidR="004146D9" w:rsidRDefault="005950E9">
    <w:pPr>
      <w:pStyle w:val="AltBilgi"/>
      <w:jc w:val="right"/>
    </w:pPr>
    <w:sdt>
      <w:sdtPr>
        <w:id w:val="1623199884"/>
        <w:docPartObj>
          <w:docPartGallery w:val="Page Numbers (Bottom of Page)"/>
          <w:docPartUnique/>
        </w:docPartObj>
      </w:sdtPr>
      <w:sdtEndPr/>
      <w:sdtContent>
        <w:r w:rsidR="004146D9">
          <w:fldChar w:fldCharType="begin"/>
        </w:r>
        <w:r w:rsidR="004146D9">
          <w:instrText>PAGE   \* MERGEFORMAT</w:instrText>
        </w:r>
        <w:r w:rsidR="004146D9">
          <w:fldChar w:fldCharType="separate"/>
        </w:r>
        <w:r w:rsidR="00F911D2">
          <w:rPr>
            <w:noProof/>
          </w:rPr>
          <w:t>3</w:t>
        </w:r>
        <w:r w:rsidR="004146D9">
          <w:fldChar w:fldCharType="end"/>
        </w:r>
      </w:sdtContent>
    </w:sdt>
  </w:p>
  <w:p w:rsidR="004146D9" w:rsidRDefault="004146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0E9" w:rsidRDefault="005950E9" w:rsidP="007C2378">
      <w:pPr>
        <w:spacing w:after="0" w:line="240" w:lineRule="auto"/>
      </w:pPr>
      <w:r>
        <w:separator/>
      </w:r>
    </w:p>
  </w:footnote>
  <w:footnote w:type="continuationSeparator" w:id="0">
    <w:p w:rsidR="005950E9" w:rsidRDefault="005950E9" w:rsidP="007C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73"/>
      <w:gridCol w:w="5006"/>
      <w:gridCol w:w="1136"/>
      <w:gridCol w:w="1365"/>
    </w:tblGrid>
    <w:tr w:rsidR="00987DDC" w:rsidTr="00DB0C52">
      <w:trPr>
        <w:trHeight w:val="144"/>
      </w:trPr>
      <w:tc>
        <w:tcPr>
          <w:tcW w:w="1873" w:type="dxa"/>
          <w:vMerge w:val="restart"/>
        </w:tcPr>
        <w:p w:rsidR="00987DDC" w:rsidRDefault="00DB0C52" w:rsidP="00987DDC">
          <w:pPr>
            <w:pStyle w:val="stBilgi"/>
            <w:rPr>
              <w:rFonts w:eastAsia="Courier New"/>
              <w:b/>
              <w:sz w:val="32"/>
              <w:szCs w:val="32"/>
            </w:rPr>
          </w:pPr>
          <w:r w:rsidRPr="0085007F">
            <w:rPr>
              <w:noProof/>
            </w:rPr>
            <w:drawing>
              <wp:inline distT="0" distB="0" distL="0" distR="0" wp14:anchorId="14BDBF64" wp14:editId="4E641640">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987DDC" w:rsidRDefault="00987DDC" w:rsidP="00987DDC">
          <w:pPr>
            <w:rPr>
              <w:rFonts w:eastAsia="Courier New"/>
              <w:lang w:val="en-US"/>
            </w:rPr>
          </w:pPr>
        </w:p>
        <w:p w:rsidR="00987DDC" w:rsidRPr="00674D61" w:rsidRDefault="00987DDC" w:rsidP="00987DDC">
          <w:pPr>
            <w:jc w:val="center"/>
            <w:rPr>
              <w:rFonts w:eastAsia="Courier New"/>
              <w:lang w:val="en-US"/>
            </w:rPr>
          </w:pPr>
        </w:p>
      </w:tc>
      <w:tc>
        <w:tcPr>
          <w:tcW w:w="5006" w:type="dxa"/>
          <w:vMerge w:val="restart"/>
        </w:tcPr>
        <w:p w:rsidR="00987DDC" w:rsidRPr="00F8570E" w:rsidRDefault="00DB0C52" w:rsidP="00987DDC">
          <w:pPr>
            <w:pStyle w:val="stBilgi"/>
            <w:jc w:val="center"/>
            <w:rPr>
              <w:rFonts w:ascii="Verdana" w:hAnsi="Verdana"/>
              <w:b/>
            </w:rPr>
          </w:pPr>
          <w:r>
            <w:rPr>
              <w:rFonts w:ascii="Verdana" w:hAnsi="Verdana"/>
              <w:b/>
            </w:rPr>
            <w:t>IRNAC</w:t>
          </w:r>
        </w:p>
        <w:p w:rsidR="00DB0C52" w:rsidRDefault="00DB0C52" w:rsidP="00987DDC">
          <w:pPr>
            <w:pStyle w:val="stBilgi"/>
            <w:jc w:val="center"/>
            <w:rPr>
              <w:rFonts w:eastAsia="Courier New"/>
              <w:b/>
              <w:sz w:val="28"/>
              <w:szCs w:val="28"/>
            </w:rPr>
          </w:pPr>
        </w:p>
        <w:p w:rsidR="00987DDC" w:rsidRPr="00C71CED" w:rsidRDefault="00987DDC" w:rsidP="00987DDC">
          <w:pPr>
            <w:pStyle w:val="stBilgi"/>
            <w:jc w:val="center"/>
            <w:rPr>
              <w:rFonts w:eastAsia="Courier New"/>
              <w:b/>
              <w:sz w:val="28"/>
              <w:szCs w:val="28"/>
            </w:rPr>
          </w:pPr>
          <w:r w:rsidRPr="00C71CED">
            <w:rPr>
              <w:rFonts w:eastAsia="Courier New"/>
              <w:b/>
              <w:sz w:val="28"/>
              <w:szCs w:val="28"/>
            </w:rPr>
            <w:t>Instruction fo</w:t>
          </w:r>
          <w:r w:rsidR="006A3490">
            <w:rPr>
              <w:rFonts w:eastAsia="Courier New"/>
              <w:b/>
              <w:sz w:val="28"/>
              <w:szCs w:val="28"/>
            </w:rPr>
            <w:t xml:space="preserve">r </w:t>
          </w:r>
          <w:r w:rsidR="0058717C" w:rsidRPr="0058717C">
            <w:rPr>
              <w:rFonts w:eastAsia="Courier New"/>
              <w:b/>
              <w:sz w:val="28"/>
              <w:szCs w:val="28"/>
            </w:rPr>
            <w:t>Asset Management</w:t>
          </w:r>
          <w:r w:rsidR="0058717C">
            <w:rPr>
              <w:rFonts w:eastAsia="Courier New"/>
              <w:b/>
              <w:sz w:val="28"/>
              <w:szCs w:val="28"/>
            </w:rPr>
            <w:t xml:space="preserve"> </w:t>
          </w:r>
          <w:r w:rsidR="006C60D3">
            <w:rPr>
              <w:rFonts w:eastAsia="Courier New"/>
              <w:b/>
              <w:sz w:val="28"/>
              <w:szCs w:val="28"/>
            </w:rPr>
            <w:t>for Certification Bodies</w:t>
          </w: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Document No:</w:t>
          </w:r>
        </w:p>
      </w:tc>
      <w:tc>
        <w:tcPr>
          <w:tcW w:w="1365" w:type="dxa"/>
        </w:tcPr>
        <w:p w:rsidR="00987DDC" w:rsidRPr="00876CA1" w:rsidRDefault="00DB0C52" w:rsidP="00987DDC">
          <w:pPr>
            <w:pStyle w:val="stBilgi"/>
            <w:jc w:val="center"/>
            <w:rPr>
              <w:rFonts w:ascii="Verdana" w:hAnsi="Verdana"/>
              <w:b/>
              <w:sz w:val="14"/>
              <w:szCs w:val="14"/>
            </w:rPr>
          </w:pPr>
          <w:r>
            <w:rPr>
              <w:rFonts w:ascii="Verdana" w:hAnsi="Verdana"/>
              <w:b/>
              <w:sz w:val="14"/>
              <w:szCs w:val="14"/>
            </w:rPr>
            <w:t>IRNAC</w:t>
          </w:r>
          <w:r w:rsidR="0058717C">
            <w:rPr>
              <w:rFonts w:ascii="Verdana" w:hAnsi="Verdana"/>
              <w:b/>
              <w:sz w:val="14"/>
              <w:szCs w:val="14"/>
            </w:rPr>
            <w:t>-IN-25</w:t>
          </w:r>
        </w:p>
        <w:p w:rsidR="00987DDC" w:rsidRDefault="00987DDC" w:rsidP="00987DDC">
          <w:pPr>
            <w:pStyle w:val="stBilgi"/>
            <w:rPr>
              <w:rFonts w:eastAsia="Courier New"/>
              <w:b/>
              <w:sz w:val="32"/>
              <w:szCs w:val="32"/>
            </w:rPr>
          </w:pPr>
        </w:p>
      </w:tc>
    </w:tr>
    <w:tr w:rsidR="00987DDC" w:rsidTr="00DB0C52">
      <w:trPr>
        <w:trHeight w:val="144"/>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Release Date:</w:t>
          </w:r>
        </w:p>
      </w:tc>
      <w:tc>
        <w:tcPr>
          <w:tcW w:w="1365" w:type="dxa"/>
        </w:tcPr>
        <w:p w:rsidR="00987DDC" w:rsidRDefault="00987DDC" w:rsidP="00987DD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DB0C52">
            <w:rPr>
              <w:rFonts w:ascii="Verdana" w:hAnsi="Verdana"/>
              <w:b/>
              <w:sz w:val="16"/>
              <w:szCs w:val="16"/>
            </w:rPr>
            <w:t>3</w:t>
          </w:r>
        </w:p>
      </w:tc>
    </w:tr>
    <w:tr w:rsidR="00987DDC" w:rsidTr="00DB0C52">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r w:rsidRPr="004F5E88">
            <w:rPr>
              <w:rFonts w:ascii="Verdana" w:hAnsi="Verdana"/>
              <w:b/>
              <w:sz w:val="16"/>
              <w:szCs w:val="16"/>
            </w:rPr>
            <w:t>Rev Date / No:</w:t>
          </w:r>
        </w:p>
      </w:tc>
      <w:tc>
        <w:tcPr>
          <w:tcW w:w="1365" w:type="dxa"/>
        </w:tcPr>
        <w:p w:rsidR="00987DDC" w:rsidRDefault="00987DDC" w:rsidP="00987DDC">
          <w:pPr>
            <w:pStyle w:val="stBilgi"/>
            <w:jc w:val="center"/>
            <w:rPr>
              <w:rFonts w:eastAsia="Courier New"/>
              <w:b/>
              <w:sz w:val="32"/>
              <w:szCs w:val="32"/>
            </w:rPr>
          </w:pPr>
          <w:r>
            <w:rPr>
              <w:rFonts w:eastAsia="Courier New"/>
              <w:b/>
              <w:sz w:val="32"/>
              <w:szCs w:val="32"/>
            </w:rPr>
            <w:t>0</w:t>
          </w:r>
        </w:p>
      </w:tc>
    </w:tr>
    <w:tr w:rsidR="00987DDC" w:rsidTr="00DB0C52">
      <w:trPr>
        <w:trHeight w:val="253"/>
      </w:trPr>
      <w:tc>
        <w:tcPr>
          <w:tcW w:w="1873" w:type="dxa"/>
          <w:vMerge/>
        </w:tcPr>
        <w:p w:rsidR="00987DDC" w:rsidRDefault="00987DDC" w:rsidP="00987DDC">
          <w:pPr>
            <w:pStyle w:val="stBilgi"/>
            <w:rPr>
              <w:rFonts w:eastAsia="Courier New"/>
              <w:b/>
              <w:sz w:val="32"/>
              <w:szCs w:val="32"/>
            </w:rPr>
          </w:pPr>
        </w:p>
      </w:tc>
      <w:tc>
        <w:tcPr>
          <w:tcW w:w="5006" w:type="dxa"/>
          <w:vMerge/>
        </w:tcPr>
        <w:p w:rsidR="00987DDC" w:rsidRPr="00F8570E" w:rsidRDefault="00987DDC" w:rsidP="00987DDC">
          <w:pPr>
            <w:pStyle w:val="stBilgi"/>
            <w:jc w:val="center"/>
            <w:rPr>
              <w:rFonts w:ascii="Verdana" w:hAnsi="Verdana"/>
              <w:b/>
            </w:rPr>
          </w:pPr>
        </w:p>
      </w:tc>
      <w:tc>
        <w:tcPr>
          <w:tcW w:w="1136" w:type="dxa"/>
        </w:tcPr>
        <w:p w:rsidR="00987DDC" w:rsidRPr="004F5E88" w:rsidRDefault="00987DDC" w:rsidP="00987DDC">
          <w:pPr>
            <w:pStyle w:val="stBilgi"/>
            <w:jc w:val="center"/>
            <w:rPr>
              <w:rFonts w:ascii="Verdana" w:hAnsi="Verdana"/>
              <w:b/>
              <w:sz w:val="16"/>
              <w:szCs w:val="16"/>
            </w:rPr>
          </w:pPr>
        </w:p>
      </w:tc>
      <w:tc>
        <w:tcPr>
          <w:tcW w:w="1365" w:type="dxa"/>
        </w:tcPr>
        <w:p w:rsidR="00987DDC" w:rsidRDefault="00987DDC" w:rsidP="00987DDC">
          <w:pPr>
            <w:pStyle w:val="stBilgi"/>
            <w:rPr>
              <w:rFonts w:eastAsia="Courier New"/>
              <w:b/>
              <w:sz w:val="32"/>
              <w:szCs w:val="32"/>
            </w:rPr>
          </w:pPr>
        </w:p>
      </w:tc>
    </w:tr>
  </w:tbl>
  <w:p w:rsidR="007C2378" w:rsidRDefault="007C23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608"/>
    <w:multiLevelType w:val="hybridMultilevel"/>
    <w:tmpl w:val="916AFB5C"/>
    <w:lvl w:ilvl="0" w:tplc="B6CAF582">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40DCB3A6">
      <w:numFmt w:val="bullet"/>
      <w:lvlText w:val="•"/>
      <w:lvlJc w:val="left"/>
      <w:pPr>
        <w:ind w:left="1061" w:hanging="360"/>
      </w:pPr>
      <w:rPr>
        <w:rFonts w:hint="default"/>
        <w:lang w:val="en-US" w:eastAsia="en-US" w:bidi="ar-SA"/>
      </w:rPr>
    </w:lvl>
    <w:lvl w:ilvl="2" w:tplc="99305D0C">
      <w:numFmt w:val="bullet"/>
      <w:lvlText w:val="•"/>
      <w:lvlJc w:val="left"/>
      <w:pPr>
        <w:ind w:left="1662" w:hanging="360"/>
      </w:pPr>
      <w:rPr>
        <w:rFonts w:hint="default"/>
        <w:lang w:val="en-US" w:eastAsia="en-US" w:bidi="ar-SA"/>
      </w:rPr>
    </w:lvl>
    <w:lvl w:ilvl="3" w:tplc="1048D782">
      <w:numFmt w:val="bullet"/>
      <w:lvlText w:val="•"/>
      <w:lvlJc w:val="left"/>
      <w:pPr>
        <w:ind w:left="2263" w:hanging="360"/>
      </w:pPr>
      <w:rPr>
        <w:rFonts w:hint="default"/>
        <w:lang w:val="en-US" w:eastAsia="en-US" w:bidi="ar-SA"/>
      </w:rPr>
    </w:lvl>
    <w:lvl w:ilvl="4" w:tplc="1B803BE6">
      <w:numFmt w:val="bullet"/>
      <w:lvlText w:val="•"/>
      <w:lvlJc w:val="left"/>
      <w:pPr>
        <w:ind w:left="2864" w:hanging="360"/>
      </w:pPr>
      <w:rPr>
        <w:rFonts w:hint="default"/>
        <w:lang w:val="en-US" w:eastAsia="en-US" w:bidi="ar-SA"/>
      </w:rPr>
    </w:lvl>
    <w:lvl w:ilvl="5" w:tplc="5B32F8E0">
      <w:numFmt w:val="bullet"/>
      <w:lvlText w:val="•"/>
      <w:lvlJc w:val="left"/>
      <w:pPr>
        <w:ind w:left="3466" w:hanging="360"/>
      </w:pPr>
      <w:rPr>
        <w:rFonts w:hint="default"/>
        <w:lang w:val="en-US" w:eastAsia="en-US" w:bidi="ar-SA"/>
      </w:rPr>
    </w:lvl>
    <w:lvl w:ilvl="6" w:tplc="744029D4">
      <w:numFmt w:val="bullet"/>
      <w:lvlText w:val="•"/>
      <w:lvlJc w:val="left"/>
      <w:pPr>
        <w:ind w:left="4067" w:hanging="360"/>
      </w:pPr>
      <w:rPr>
        <w:rFonts w:hint="default"/>
        <w:lang w:val="en-US" w:eastAsia="en-US" w:bidi="ar-SA"/>
      </w:rPr>
    </w:lvl>
    <w:lvl w:ilvl="7" w:tplc="33A0DEAA">
      <w:numFmt w:val="bullet"/>
      <w:lvlText w:val="•"/>
      <w:lvlJc w:val="left"/>
      <w:pPr>
        <w:ind w:left="4668" w:hanging="360"/>
      </w:pPr>
      <w:rPr>
        <w:rFonts w:hint="default"/>
        <w:lang w:val="en-US" w:eastAsia="en-US" w:bidi="ar-SA"/>
      </w:rPr>
    </w:lvl>
    <w:lvl w:ilvl="8" w:tplc="B0E4C348">
      <w:numFmt w:val="bullet"/>
      <w:lvlText w:val="•"/>
      <w:lvlJc w:val="left"/>
      <w:pPr>
        <w:ind w:left="5269" w:hanging="360"/>
      </w:pPr>
      <w:rPr>
        <w:rFonts w:hint="default"/>
        <w:lang w:val="en-US" w:eastAsia="en-US" w:bidi="ar-SA"/>
      </w:rPr>
    </w:lvl>
  </w:abstractNum>
  <w:abstractNum w:abstractNumId="1" w15:restartNumberingAfterBreak="0">
    <w:nsid w:val="168358F1"/>
    <w:multiLevelType w:val="hybridMultilevel"/>
    <w:tmpl w:val="CC72ACEA"/>
    <w:lvl w:ilvl="0" w:tplc="1E528FAA">
      <w:start w:val="1"/>
      <w:numFmt w:val="decimal"/>
      <w:lvlText w:val="%1."/>
      <w:lvlJc w:val="left"/>
      <w:pPr>
        <w:ind w:left="468" w:hanging="360"/>
      </w:pPr>
      <w:rPr>
        <w:rFonts w:ascii="Arial MT" w:eastAsia="Arial MT" w:hAnsi="Arial MT" w:cs="Arial MT" w:hint="default"/>
        <w:spacing w:val="-1"/>
        <w:w w:val="100"/>
        <w:sz w:val="22"/>
        <w:szCs w:val="22"/>
        <w:lang w:val="en-US" w:eastAsia="en-US" w:bidi="ar-SA"/>
      </w:rPr>
    </w:lvl>
    <w:lvl w:ilvl="1" w:tplc="06CE53A0">
      <w:numFmt w:val="bullet"/>
      <w:lvlText w:val="•"/>
      <w:lvlJc w:val="left"/>
      <w:pPr>
        <w:ind w:left="1061" w:hanging="360"/>
      </w:pPr>
      <w:rPr>
        <w:rFonts w:hint="default"/>
        <w:lang w:val="en-US" w:eastAsia="en-US" w:bidi="ar-SA"/>
      </w:rPr>
    </w:lvl>
    <w:lvl w:ilvl="2" w:tplc="A070578C">
      <w:numFmt w:val="bullet"/>
      <w:lvlText w:val="•"/>
      <w:lvlJc w:val="left"/>
      <w:pPr>
        <w:ind w:left="1662" w:hanging="360"/>
      </w:pPr>
      <w:rPr>
        <w:rFonts w:hint="default"/>
        <w:lang w:val="en-US" w:eastAsia="en-US" w:bidi="ar-SA"/>
      </w:rPr>
    </w:lvl>
    <w:lvl w:ilvl="3" w:tplc="24DEB5A2">
      <w:numFmt w:val="bullet"/>
      <w:lvlText w:val="•"/>
      <w:lvlJc w:val="left"/>
      <w:pPr>
        <w:ind w:left="2263" w:hanging="360"/>
      </w:pPr>
      <w:rPr>
        <w:rFonts w:hint="default"/>
        <w:lang w:val="en-US" w:eastAsia="en-US" w:bidi="ar-SA"/>
      </w:rPr>
    </w:lvl>
    <w:lvl w:ilvl="4" w:tplc="7A489D34">
      <w:numFmt w:val="bullet"/>
      <w:lvlText w:val="•"/>
      <w:lvlJc w:val="left"/>
      <w:pPr>
        <w:ind w:left="2864" w:hanging="360"/>
      </w:pPr>
      <w:rPr>
        <w:rFonts w:hint="default"/>
        <w:lang w:val="en-US" w:eastAsia="en-US" w:bidi="ar-SA"/>
      </w:rPr>
    </w:lvl>
    <w:lvl w:ilvl="5" w:tplc="769E3072">
      <w:numFmt w:val="bullet"/>
      <w:lvlText w:val="•"/>
      <w:lvlJc w:val="left"/>
      <w:pPr>
        <w:ind w:left="3466" w:hanging="360"/>
      </w:pPr>
      <w:rPr>
        <w:rFonts w:hint="default"/>
        <w:lang w:val="en-US" w:eastAsia="en-US" w:bidi="ar-SA"/>
      </w:rPr>
    </w:lvl>
    <w:lvl w:ilvl="6" w:tplc="CEF041EC">
      <w:numFmt w:val="bullet"/>
      <w:lvlText w:val="•"/>
      <w:lvlJc w:val="left"/>
      <w:pPr>
        <w:ind w:left="4067" w:hanging="360"/>
      </w:pPr>
      <w:rPr>
        <w:rFonts w:hint="default"/>
        <w:lang w:val="en-US" w:eastAsia="en-US" w:bidi="ar-SA"/>
      </w:rPr>
    </w:lvl>
    <w:lvl w:ilvl="7" w:tplc="578AB3FE">
      <w:numFmt w:val="bullet"/>
      <w:lvlText w:val="•"/>
      <w:lvlJc w:val="left"/>
      <w:pPr>
        <w:ind w:left="4668" w:hanging="360"/>
      </w:pPr>
      <w:rPr>
        <w:rFonts w:hint="default"/>
        <w:lang w:val="en-US" w:eastAsia="en-US" w:bidi="ar-SA"/>
      </w:rPr>
    </w:lvl>
    <w:lvl w:ilvl="8" w:tplc="84A05BBC">
      <w:numFmt w:val="bullet"/>
      <w:lvlText w:val="•"/>
      <w:lvlJc w:val="left"/>
      <w:pPr>
        <w:ind w:left="5269" w:hanging="360"/>
      </w:pPr>
      <w:rPr>
        <w:rFonts w:hint="default"/>
        <w:lang w:val="en-US" w:eastAsia="en-US" w:bidi="ar-SA"/>
      </w:rPr>
    </w:lvl>
  </w:abstractNum>
  <w:abstractNum w:abstractNumId="2" w15:restartNumberingAfterBreak="0">
    <w:nsid w:val="55573C98"/>
    <w:multiLevelType w:val="hybridMultilevel"/>
    <w:tmpl w:val="A3D21DDE"/>
    <w:lvl w:ilvl="0" w:tplc="32A2B74A">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3EB28FFA">
      <w:numFmt w:val="bullet"/>
      <w:lvlText w:val="•"/>
      <w:lvlJc w:val="left"/>
      <w:pPr>
        <w:ind w:left="737" w:hanging="360"/>
      </w:pPr>
      <w:rPr>
        <w:rFonts w:hint="default"/>
        <w:lang w:val="en-US" w:eastAsia="en-US" w:bidi="ar-SA"/>
      </w:rPr>
    </w:lvl>
    <w:lvl w:ilvl="2" w:tplc="EB3E5474">
      <w:numFmt w:val="bullet"/>
      <w:lvlText w:val="•"/>
      <w:lvlJc w:val="left"/>
      <w:pPr>
        <w:ind w:left="1014" w:hanging="360"/>
      </w:pPr>
      <w:rPr>
        <w:rFonts w:hint="default"/>
        <w:lang w:val="en-US" w:eastAsia="en-US" w:bidi="ar-SA"/>
      </w:rPr>
    </w:lvl>
    <w:lvl w:ilvl="3" w:tplc="75862788">
      <w:numFmt w:val="bullet"/>
      <w:lvlText w:val="•"/>
      <w:lvlJc w:val="left"/>
      <w:pPr>
        <w:ind w:left="1291" w:hanging="360"/>
      </w:pPr>
      <w:rPr>
        <w:rFonts w:hint="default"/>
        <w:lang w:val="en-US" w:eastAsia="en-US" w:bidi="ar-SA"/>
      </w:rPr>
    </w:lvl>
    <w:lvl w:ilvl="4" w:tplc="0596B2AE">
      <w:numFmt w:val="bullet"/>
      <w:lvlText w:val="•"/>
      <w:lvlJc w:val="left"/>
      <w:pPr>
        <w:ind w:left="1568" w:hanging="360"/>
      </w:pPr>
      <w:rPr>
        <w:rFonts w:hint="default"/>
        <w:lang w:val="en-US" w:eastAsia="en-US" w:bidi="ar-SA"/>
      </w:rPr>
    </w:lvl>
    <w:lvl w:ilvl="5" w:tplc="3580F7B4">
      <w:numFmt w:val="bullet"/>
      <w:lvlText w:val="•"/>
      <w:lvlJc w:val="left"/>
      <w:pPr>
        <w:ind w:left="1845" w:hanging="360"/>
      </w:pPr>
      <w:rPr>
        <w:rFonts w:hint="default"/>
        <w:lang w:val="en-US" w:eastAsia="en-US" w:bidi="ar-SA"/>
      </w:rPr>
    </w:lvl>
    <w:lvl w:ilvl="6" w:tplc="6EB46AD4">
      <w:numFmt w:val="bullet"/>
      <w:lvlText w:val="•"/>
      <w:lvlJc w:val="left"/>
      <w:pPr>
        <w:ind w:left="2122" w:hanging="360"/>
      </w:pPr>
      <w:rPr>
        <w:rFonts w:hint="default"/>
        <w:lang w:val="en-US" w:eastAsia="en-US" w:bidi="ar-SA"/>
      </w:rPr>
    </w:lvl>
    <w:lvl w:ilvl="7" w:tplc="E93AFD1E">
      <w:numFmt w:val="bullet"/>
      <w:lvlText w:val="•"/>
      <w:lvlJc w:val="left"/>
      <w:pPr>
        <w:ind w:left="2399" w:hanging="360"/>
      </w:pPr>
      <w:rPr>
        <w:rFonts w:hint="default"/>
        <w:lang w:val="en-US" w:eastAsia="en-US" w:bidi="ar-SA"/>
      </w:rPr>
    </w:lvl>
    <w:lvl w:ilvl="8" w:tplc="2DC09B0C">
      <w:numFmt w:val="bullet"/>
      <w:lvlText w:val="•"/>
      <w:lvlJc w:val="left"/>
      <w:pPr>
        <w:ind w:left="2676" w:hanging="360"/>
      </w:pPr>
      <w:rPr>
        <w:rFonts w:hint="default"/>
        <w:lang w:val="en-US" w:eastAsia="en-US" w:bidi="ar-SA"/>
      </w:rPr>
    </w:lvl>
  </w:abstractNum>
  <w:abstractNum w:abstractNumId="3" w15:restartNumberingAfterBreak="0">
    <w:nsid w:val="611F2D8F"/>
    <w:multiLevelType w:val="hybridMultilevel"/>
    <w:tmpl w:val="051EA322"/>
    <w:lvl w:ilvl="0" w:tplc="F1BA245E">
      <w:start w:val="1"/>
      <w:numFmt w:val="lowerLetter"/>
      <w:lvlText w:val="%1."/>
      <w:lvlJc w:val="left"/>
      <w:pPr>
        <w:ind w:left="467" w:hanging="360"/>
      </w:pPr>
      <w:rPr>
        <w:rFonts w:ascii="Arial MT" w:eastAsia="Arial MT" w:hAnsi="Arial MT" w:cs="Arial MT" w:hint="default"/>
        <w:spacing w:val="-1"/>
        <w:w w:val="100"/>
        <w:sz w:val="22"/>
        <w:szCs w:val="22"/>
        <w:lang w:val="en-US" w:eastAsia="en-US" w:bidi="ar-SA"/>
      </w:rPr>
    </w:lvl>
    <w:lvl w:ilvl="1" w:tplc="8D965A62">
      <w:numFmt w:val="bullet"/>
      <w:lvlText w:val="•"/>
      <w:lvlJc w:val="left"/>
      <w:pPr>
        <w:ind w:left="737" w:hanging="360"/>
      </w:pPr>
      <w:rPr>
        <w:rFonts w:hint="default"/>
        <w:lang w:val="en-US" w:eastAsia="en-US" w:bidi="ar-SA"/>
      </w:rPr>
    </w:lvl>
    <w:lvl w:ilvl="2" w:tplc="EDFC673A">
      <w:numFmt w:val="bullet"/>
      <w:lvlText w:val="•"/>
      <w:lvlJc w:val="left"/>
      <w:pPr>
        <w:ind w:left="1014" w:hanging="360"/>
      </w:pPr>
      <w:rPr>
        <w:rFonts w:hint="default"/>
        <w:lang w:val="en-US" w:eastAsia="en-US" w:bidi="ar-SA"/>
      </w:rPr>
    </w:lvl>
    <w:lvl w:ilvl="3" w:tplc="7DBC3576">
      <w:numFmt w:val="bullet"/>
      <w:lvlText w:val="•"/>
      <w:lvlJc w:val="left"/>
      <w:pPr>
        <w:ind w:left="1291" w:hanging="360"/>
      </w:pPr>
      <w:rPr>
        <w:rFonts w:hint="default"/>
        <w:lang w:val="en-US" w:eastAsia="en-US" w:bidi="ar-SA"/>
      </w:rPr>
    </w:lvl>
    <w:lvl w:ilvl="4" w:tplc="523C2E34">
      <w:numFmt w:val="bullet"/>
      <w:lvlText w:val="•"/>
      <w:lvlJc w:val="left"/>
      <w:pPr>
        <w:ind w:left="1568" w:hanging="360"/>
      </w:pPr>
      <w:rPr>
        <w:rFonts w:hint="default"/>
        <w:lang w:val="en-US" w:eastAsia="en-US" w:bidi="ar-SA"/>
      </w:rPr>
    </w:lvl>
    <w:lvl w:ilvl="5" w:tplc="CCFC6EF2">
      <w:numFmt w:val="bullet"/>
      <w:lvlText w:val="•"/>
      <w:lvlJc w:val="left"/>
      <w:pPr>
        <w:ind w:left="1845" w:hanging="360"/>
      </w:pPr>
      <w:rPr>
        <w:rFonts w:hint="default"/>
        <w:lang w:val="en-US" w:eastAsia="en-US" w:bidi="ar-SA"/>
      </w:rPr>
    </w:lvl>
    <w:lvl w:ilvl="6" w:tplc="B7248A1E">
      <w:numFmt w:val="bullet"/>
      <w:lvlText w:val="•"/>
      <w:lvlJc w:val="left"/>
      <w:pPr>
        <w:ind w:left="2122" w:hanging="360"/>
      </w:pPr>
      <w:rPr>
        <w:rFonts w:hint="default"/>
        <w:lang w:val="en-US" w:eastAsia="en-US" w:bidi="ar-SA"/>
      </w:rPr>
    </w:lvl>
    <w:lvl w:ilvl="7" w:tplc="3A38F808">
      <w:numFmt w:val="bullet"/>
      <w:lvlText w:val="•"/>
      <w:lvlJc w:val="left"/>
      <w:pPr>
        <w:ind w:left="2399" w:hanging="360"/>
      </w:pPr>
      <w:rPr>
        <w:rFonts w:hint="default"/>
        <w:lang w:val="en-US" w:eastAsia="en-US" w:bidi="ar-SA"/>
      </w:rPr>
    </w:lvl>
    <w:lvl w:ilvl="8" w:tplc="E294F3DE">
      <w:numFmt w:val="bullet"/>
      <w:lvlText w:val="•"/>
      <w:lvlJc w:val="left"/>
      <w:pPr>
        <w:ind w:left="2676"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78"/>
    <w:rsid w:val="000265CE"/>
    <w:rsid w:val="00052185"/>
    <w:rsid w:val="00081DFF"/>
    <w:rsid w:val="001669AC"/>
    <w:rsid w:val="0017503E"/>
    <w:rsid w:val="00177FB9"/>
    <w:rsid w:val="001E10CD"/>
    <w:rsid w:val="0020021D"/>
    <w:rsid w:val="00205485"/>
    <w:rsid w:val="00213C15"/>
    <w:rsid w:val="00220C61"/>
    <w:rsid w:val="00250764"/>
    <w:rsid w:val="00286BE0"/>
    <w:rsid w:val="00297F41"/>
    <w:rsid w:val="002A64D8"/>
    <w:rsid w:val="002D5E13"/>
    <w:rsid w:val="003041A7"/>
    <w:rsid w:val="00310ADA"/>
    <w:rsid w:val="00326600"/>
    <w:rsid w:val="00327DD0"/>
    <w:rsid w:val="0033003B"/>
    <w:rsid w:val="0033095D"/>
    <w:rsid w:val="00331CF1"/>
    <w:rsid w:val="00347F74"/>
    <w:rsid w:val="004103F0"/>
    <w:rsid w:val="004146D9"/>
    <w:rsid w:val="00471EFE"/>
    <w:rsid w:val="00484095"/>
    <w:rsid w:val="004C4A02"/>
    <w:rsid w:val="004E2D08"/>
    <w:rsid w:val="004E73F3"/>
    <w:rsid w:val="00513E2D"/>
    <w:rsid w:val="0057004A"/>
    <w:rsid w:val="00575AE0"/>
    <w:rsid w:val="0058717C"/>
    <w:rsid w:val="005950E9"/>
    <w:rsid w:val="005C2CC4"/>
    <w:rsid w:val="005D2604"/>
    <w:rsid w:val="006159EB"/>
    <w:rsid w:val="00624B7D"/>
    <w:rsid w:val="00675516"/>
    <w:rsid w:val="006A3490"/>
    <w:rsid w:val="006B0EA5"/>
    <w:rsid w:val="006B2D06"/>
    <w:rsid w:val="006C60D3"/>
    <w:rsid w:val="007204A1"/>
    <w:rsid w:val="00730EEE"/>
    <w:rsid w:val="007348D1"/>
    <w:rsid w:val="007C2378"/>
    <w:rsid w:val="00845121"/>
    <w:rsid w:val="00845DE8"/>
    <w:rsid w:val="008B663F"/>
    <w:rsid w:val="00910C6D"/>
    <w:rsid w:val="0092781D"/>
    <w:rsid w:val="009427DB"/>
    <w:rsid w:val="00987DDC"/>
    <w:rsid w:val="00A21231"/>
    <w:rsid w:val="00A7206C"/>
    <w:rsid w:val="00A85A2A"/>
    <w:rsid w:val="00A874C8"/>
    <w:rsid w:val="00AA0676"/>
    <w:rsid w:val="00AB2159"/>
    <w:rsid w:val="00AB4739"/>
    <w:rsid w:val="00B114D6"/>
    <w:rsid w:val="00B25A14"/>
    <w:rsid w:val="00B3128A"/>
    <w:rsid w:val="00B56A25"/>
    <w:rsid w:val="00BA45FA"/>
    <w:rsid w:val="00BC5336"/>
    <w:rsid w:val="00BD06DB"/>
    <w:rsid w:val="00BE71E4"/>
    <w:rsid w:val="00C02760"/>
    <w:rsid w:val="00C26477"/>
    <w:rsid w:val="00CE5026"/>
    <w:rsid w:val="00D56549"/>
    <w:rsid w:val="00DB0C52"/>
    <w:rsid w:val="00DE0684"/>
    <w:rsid w:val="00DE0B96"/>
    <w:rsid w:val="00E32200"/>
    <w:rsid w:val="00E87D20"/>
    <w:rsid w:val="00EB2DF6"/>
    <w:rsid w:val="00F05D41"/>
    <w:rsid w:val="00F36441"/>
    <w:rsid w:val="00F54F7C"/>
    <w:rsid w:val="00F91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1B5C0"/>
  <w15:chartTrackingRefBased/>
  <w15:docId w15:val="{3749EACA-2960-4103-A584-C669C410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2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2378"/>
  </w:style>
  <w:style w:type="paragraph" w:styleId="AltBilgi">
    <w:name w:val="footer"/>
    <w:basedOn w:val="Normal"/>
    <w:link w:val="AltBilgiChar"/>
    <w:uiPriority w:val="99"/>
    <w:unhideWhenUsed/>
    <w:rsid w:val="007C2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2378"/>
  </w:style>
  <w:style w:type="table" w:styleId="TabloKlavuzu">
    <w:name w:val="Table Grid"/>
    <w:basedOn w:val="NormalTablo"/>
    <w:uiPriority w:val="59"/>
    <w:rsid w:val="007C237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48D1"/>
    <w:pPr>
      <w:ind w:left="720"/>
      <w:contextualSpacing/>
    </w:pPr>
  </w:style>
  <w:style w:type="table" w:customStyle="1" w:styleId="TableNormal">
    <w:name w:val="Table Normal"/>
    <w:uiPriority w:val="2"/>
    <w:semiHidden/>
    <w:unhideWhenUsed/>
    <w:qFormat/>
    <w:rsid w:val="008451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121"/>
    <w:pPr>
      <w:widowControl w:val="0"/>
      <w:autoSpaceDE w:val="0"/>
      <w:autoSpaceDN w:val="0"/>
      <w:spacing w:before="41" w:after="0" w:line="240" w:lineRule="auto"/>
      <w:ind w:left="302" w:right="291"/>
      <w:jc w:val="center"/>
    </w:pPr>
    <w:rPr>
      <w:rFonts w:ascii="Arial MT" w:eastAsia="Arial MT" w:hAnsi="Arial MT" w:cs="Arial MT"/>
      <w:lang w:val="en-US"/>
    </w:rPr>
  </w:style>
  <w:style w:type="table" w:customStyle="1" w:styleId="TableNormal1">
    <w:name w:val="Table Normal1"/>
    <w:uiPriority w:val="2"/>
    <w:semiHidden/>
    <w:unhideWhenUsed/>
    <w:qFormat/>
    <w:rsid w:val="001750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sevda@hotmail.com</dc:creator>
  <cp:keywords/>
  <dc:description/>
  <cp:lastModifiedBy>sevda@hotmail.com</cp:lastModifiedBy>
  <cp:revision>2</cp:revision>
  <dcterms:created xsi:type="dcterms:W3CDTF">2023-09-27T12:44:00Z</dcterms:created>
  <dcterms:modified xsi:type="dcterms:W3CDTF">2023-09-27T12:44:00Z</dcterms:modified>
</cp:coreProperties>
</file>